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99"/>
      </w:tblGrid>
      <w:tr w:rsidR="00297DE0" w14:paraId="269F6069" w14:textId="77777777" w:rsidTr="00297DE0">
        <w:tc>
          <w:tcPr>
            <w:tcW w:w="3823" w:type="dxa"/>
          </w:tcPr>
          <w:p w14:paraId="17AE8DFC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17FBE2A1" w14:textId="1945E033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176F8D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14:paraId="3531FF93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к приказу управления по обеспечению</w:t>
            </w:r>
          </w:p>
          <w:p w14:paraId="5A267002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деятельности мировых судей, адвокатуры</w:t>
            </w:r>
          </w:p>
          <w:p w14:paraId="0FA3F31E" w14:textId="77777777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и нотариата Нижегородской области</w:t>
            </w:r>
          </w:p>
          <w:p w14:paraId="1FB27914" w14:textId="770DB1A2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C326DC">
              <w:rPr>
                <w:rFonts w:ascii="Times New Roman" w:hAnsi="Times New Roman"/>
                <w:sz w:val="24"/>
                <w:szCs w:val="24"/>
              </w:rPr>
              <w:t>30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83E97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583E97">
              <w:rPr>
                <w:rFonts w:ascii="Times New Roman" w:hAnsi="Times New Roman"/>
                <w:sz w:val="24"/>
                <w:szCs w:val="24"/>
              </w:rPr>
              <w:t>2</w:t>
            </w:r>
            <w:r w:rsidR="00C326DC">
              <w:rPr>
                <w:rFonts w:ascii="Times New Roman" w:hAnsi="Times New Roman"/>
                <w:sz w:val="24"/>
                <w:szCs w:val="24"/>
              </w:rPr>
              <w:t>5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8C5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6DC">
              <w:rPr>
                <w:rFonts w:ascii="Times New Roman" w:hAnsi="Times New Roman"/>
                <w:sz w:val="24"/>
                <w:szCs w:val="24"/>
              </w:rPr>
              <w:t>237</w:t>
            </w:r>
          </w:p>
          <w:p w14:paraId="1E89C6E1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183292" w14:textId="77777777" w:rsidR="00297DE0" w:rsidRDefault="00297DE0" w:rsidP="00297DE0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14:paraId="0FB8B2DF" w14:textId="67619D85" w:rsidR="00583E97" w:rsidRDefault="007D7E2A" w:rsidP="007D7E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E2A">
        <w:rPr>
          <w:rFonts w:ascii="Times New Roman" w:hAnsi="Times New Roman"/>
          <w:b/>
          <w:bCs/>
          <w:sz w:val="24"/>
          <w:szCs w:val="24"/>
        </w:rPr>
        <w:t xml:space="preserve">Карта </w:t>
      </w:r>
      <w:r w:rsidR="007C2FF2" w:rsidRPr="007C2FF2">
        <w:rPr>
          <w:rFonts w:ascii="Times New Roman" w:hAnsi="Times New Roman"/>
          <w:b/>
          <w:bCs/>
          <w:sz w:val="24"/>
          <w:szCs w:val="24"/>
        </w:rPr>
        <w:t>комплаенс-рисков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2FA6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7D7E2A">
        <w:rPr>
          <w:rFonts w:ascii="Times New Roman" w:hAnsi="Times New Roman"/>
          <w:b/>
          <w:bCs/>
          <w:sz w:val="24"/>
          <w:szCs w:val="24"/>
        </w:rPr>
        <w:t>управлени</w:t>
      </w:r>
      <w:r w:rsidR="00D22FA6">
        <w:rPr>
          <w:rFonts w:ascii="Times New Roman" w:hAnsi="Times New Roman"/>
          <w:b/>
          <w:bCs/>
          <w:sz w:val="24"/>
          <w:szCs w:val="24"/>
        </w:rPr>
        <w:t>и</w:t>
      </w:r>
      <w:r w:rsidRPr="007D7E2A">
        <w:rPr>
          <w:rFonts w:ascii="Times New Roman" w:hAnsi="Times New Roman"/>
          <w:b/>
          <w:bCs/>
          <w:sz w:val="24"/>
          <w:szCs w:val="24"/>
        </w:rPr>
        <w:t xml:space="preserve"> по обеспечению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E2A">
        <w:rPr>
          <w:rFonts w:ascii="Times New Roman" w:hAnsi="Times New Roman"/>
          <w:b/>
          <w:bCs/>
          <w:sz w:val="24"/>
          <w:szCs w:val="24"/>
        </w:rPr>
        <w:t>деятельности мировых судей, адвокатуры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E2A">
        <w:rPr>
          <w:rFonts w:ascii="Times New Roman" w:hAnsi="Times New Roman"/>
          <w:b/>
          <w:bCs/>
          <w:sz w:val="24"/>
          <w:szCs w:val="24"/>
        </w:rPr>
        <w:t>и нотариата Нижегородской области</w:t>
      </w:r>
      <w:r w:rsidR="00583E9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B9CB2C" w14:textId="6749F3A9" w:rsidR="007D7E2A" w:rsidRPr="007D7E2A" w:rsidRDefault="00583E97" w:rsidP="007D7E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</w:t>
      </w:r>
      <w:r w:rsidR="00E55403">
        <w:rPr>
          <w:rFonts w:ascii="Times New Roman" w:hAnsi="Times New Roman"/>
          <w:b/>
          <w:bCs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66EBC514" w14:textId="77777777" w:rsidR="007D7E2A" w:rsidRPr="00845DBE" w:rsidRDefault="007D7E2A" w:rsidP="00B72EFC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9"/>
        <w:gridCol w:w="8264"/>
        <w:gridCol w:w="2036"/>
        <w:gridCol w:w="1747"/>
        <w:gridCol w:w="2050"/>
      </w:tblGrid>
      <w:tr w:rsidR="00535CD7" w:rsidRPr="00535CD7" w14:paraId="5EDE0F11" w14:textId="77777777" w:rsidTr="00535CD7">
        <w:trPr>
          <w:trHeight w:val="1033"/>
        </w:trPr>
        <w:tc>
          <w:tcPr>
            <w:tcW w:w="0" w:type="auto"/>
          </w:tcPr>
          <w:p w14:paraId="7C551D65" w14:textId="5682D8B1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Уровень риска</w:t>
            </w:r>
          </w:p>
        </w:tc>
        <w:tc>
          <w:tcPr>
            <w:tcW w:w="0" w:type="auto"/>
          </w:tcPr>
          <w:p w14:paraId="6855B39C" w14:textId="74BFE3C0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Вид риска (описание)</w:t>
            </w:r>
          </w:p>
        </w:tc>
        <w:tc>
          <w:tcPr>
            <w:tcW w:w="0" w:type="auto"/>
          </w:tcPr>
          <w:p w14:paraId="3AD854B1" w14:textId="00913AB5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Причины и условия возникновения (описание)</w:t>
            </w:r>
          </w:p>
        </w:tc>
        <w:tc>
          <w:tcPr>
            <w:tcW w:w="0" w:type="auto"/>
          </w:tcPr>
          <w:p w14:paraId="1835EF28" w14:textId="5E85F244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Наличие (отсутствие) остаточных рисков</w:t>
            </w:r>
          </w:p>
        </w:tc>
        <w:tc>
          <w:tcPr>
            <w:tcW w:w="0" w:type="auto"/>
          </w:tcPr>
          <w:p w14:paraId="682497BD" w14:textId="53AC039A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Вероятность повторного возникновения рисков</w:t>
            </w:r>
          </w:p>
        </w:tc>
      </w:tr>
      <w:tr w:rsidR="00297DE0" w:rsidRPr="00535CD7" w14:paraId="4A499358" w14:textId="77777777" w:rsidTr="00B93031">
        <w:tc>
          <w:tcPr>
            <w:tcW w:w="0" w:type="auto"/>
            <w:gridSpan w:val="5"/>
          </w:tcPr>
          <w:p w14:paraId="67C34C0E" w14:textId="7F764202" w:rsidR="00297DE0" w:rsidRPr="00535CD7" w:rsidRDefault="00297DE0" w:rsidP="00535C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Нарушения при осуществлении закупок товаров, работ, услуг, для обеспечения нужд управления по обеспечению деятельности мировых судей, адвокатуры и нотариата Нижегородской области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35CD7" w:rsidRPr="00535CD7" w14:paraId="2C119652" w14:textId="77777777" w:rsidTr="00297DE0">
        <w:tc>
          <w:tcPr>
            <w:tcW w:w="0" w:type="auto"/>
          </w:tcPr>
          <w:p w14:paraId="03A68425" w14:textId="7DA88EE3" w:rsidR="0089550B" w:rsidRPr="00535CD7" w:rsidRDefault="0089550B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26282582" w14:textId="05C6922C" w:rsidR="0089550B" w:rsidRPr="00535CD7" w:rsidRDefault="0089550B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1. Принятие решения о способе определения поставщика (подрядчика, исполнителя), в том числе решения о закупке товаров, работ, услуг у единственного поставщика (подрядчика, исполнителя), в случае, если определение поставщика (подрядчика, исполнителя)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</w:t>
            </w:r>
            <w:r w:rsidR="00BB217A" w:rsidRPr="00535CD7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6D33AA31" w14:textId="194AC48D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214FBF4" w14:textId="6463265E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2A12BE0C" w14:textId="4AC3D97C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BB217A" w:rsidRPr="00535CD7" w14:paraId="287C2185" w14:textId="77777777" w:rsidTr="00297DE0">
        <w:tc>
          <w:tcPr>
            <w:tcW w:w="0" w:type="auto"/>
          </w:tcPr>
          <w:p w14:paraId="3D81F3B9" w14:textId="5AD6A2DB" w:rsidR="00BB217A" w:rsidRPr="00535CD7" w:rsidRDefault="00BB217A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3D6FC897" w14:textId="52A243B3" w:rsidR="00BB217A" w:rsidRPr="00535CD7" w:rsidRDefault="00BB217A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2. </w:t>
            </w:r>
            <w:r w:rsidR="00A87C6D" w:rsidRPr="00535CD7">
              <w:rPr>
                <w:rFonts w:ascii="Times New Roman" w:eastAsiaTheme="minorHAnsi" w:hAnsi="Times New Roman"/>
                <w:sz w:val="18"/>
                <w:szCs w:val="18"/>
              </w:rPr>
              <w:t>Включение в описание объекта закупки требований к товарам, работам, услугам влеку</w:t>
            </w:r>
            <w:r w:rsidR="00A87C6D">
              <w:rPr>
                <w:rFonts w:ascii="Times New Roman" w:eastAsiaTheme="minorHAnsi" w:hAnsi="Times New Roman"/>
                <w:sz w:val="18"/>
                <w:szCs w:val="18"/>
              </w:rPr>
              <w:t>щих</w:t>
            </w:r>
            <w:r w:rsidR="00A87C6D"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 за собой ограничение количества участников закупки, или включение в состав одного лота, объекта закупки товаров, работ, услуг, технологически и функционально не связанных между собой.</w:t>
            </w:r>
          </w:p>
        </w:tc>
        <w:tc>
          <w:tcPr>
            <w:tcW w:w="0" w:type="auto"/>
          </w:tcPr>
          <w:p w14:paraId="046F0E2B" w14:textId="55826EB3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337F3BC6" w14:textId="07DDA62B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3324DE97" w14:textId="5D3C6AA1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3A8FA5EE" w14:textId="77777777" w:rsidTr="00535CD7">
        <w:trPr>
          <w:trHeight w:val="279"/>
        </w:trPr>
        <w:tc>
          <w:tcPr>
            <w:tcW w:w="0" w:type="auto"/>
          </w:tcPr>
          <w:p w14:paraId="62F2B54C" w14:textId="4667E0C0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14220917" w14:textId="46C25D85" w:rsidR="00176F8D" w:rsidRPr="00535CD7" w:rsidRDefault="00176F8D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3. Сокращение сроков подачи заявок на участие в определении поставщика (подрядчика, исполнителя).</w:t>
            </w:r>
          </w:p>
        </w:tc>
        <w:tc>
          <w:tcPr>
            <w:tcW w:w="0" w:type="auto"/>
          </w:tcPr>
          <w:p w14:paraId="78C38115" w14:textId="6D9938B4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F3BF8A3" w14:textId="2A2140E3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3ABE88B7" w14:textId="58C302BB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1CC2B611" w14:textId="77777777" w:rsidTr="00535CD7">
        <w:trPr>
          <w:trHeight w:val="399"/>
        </w:trPr>
        <w:tc>
          <w:tcPr>
            <w:tcW w:w="0" w:type="auto"/>
          </w:tcPr>
          <w:p w14:paraId="5A03B043" w14:textId="66E0EB0A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5A8DE8A2" w14:textId="7984FB6F" w:rsidR="00176F8D" w:rsidRPr="00535CD7" w:rsidRDefault="00176F8D" w:rsidP="00535CD7">
            <w:pPr>
              <w:jc w:val="both"/>
              <w:rPr>
                <w:rStyle w:val="TimesNewRoman11pt"/>
                <w:rFonts w:eastAsia="Arial"/>
                <w:b w:val="0"/>
                <w:bCs w:val="0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4. Установление излишних требований к участникам закупки, требование о представлении документов, не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предусмотренных законодательством Российской Федерации о контрактной системе в сфере закупок.</w:t>
            </w:r>
          </w:p>
        </w:tc>
        <w:tc>
          <w:tcPr>
            <w:tcW w:w="0" w:type="auto"/>
          </w:tcPr>
          <w:p w14:paraId="11227714" w14:textId="39E7C887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23F0724" w14:textId="0C04A642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7701D7DA" w14:textId="296AE2D5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39860FDB" w14:textId="77777777" w:rsidTr="00535CD7">
        <w:trPr>
          <w:trHeight w:val="693"/>
        </w:trPr>
        <w:tc>
          <w:tcPr>
            <w:tcW w:w="0" w:type="auto"/>
          </w:tcPr>
          <w:p w14:paraId="54E19326" w14:textId="4310C3C7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6CD6F08B" w14:textId="5A0A1421" w:rsidR="00176F8D" w:rsidRPr="00535CD7" w:rsidRDefault="00176F8D" w:rsidP="00535CD7">
            <w:pPr>
              <w:jc w:val="both"/>
              <w:rPr>
                <w:rStyle w:val="TimesNewRoman11pt"/>
                <w:rFonts w:eastAsia="Arial"/>
                <w:b w:val="0"/>
                <w:bCs w:val="0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5. Нарушение порядка признания победителя определения поставщика (подрядчика исполнителя),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предусмотренного законодательством Российской Федерации о контрактной системе в сфере закупок,</w:t>
            </w:r>
            <w:r w:rsidRPr="00535CD7">
              <w:rPr>
                <w:rFonts w:ascii="Times New Roman" w:hAnsi="Times New Roman"/>
                <w:sz w:val="18"/>
                <w:szCs w:val="18"/>
              </w:rPr>
              <w:t xml:space="preserve"> при подведении итогов проведения конкурентной закупки</w:t>
            </w:r>
          </w:p>
        </w:tc>
        <w:tc>
          <w:tcPr>
            <w:tcW w:w="0" w:type="auto"/>
          </w:tcPr>
          <w:p w14:paraId="0CD6F93D" w14:textId="53998844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2E244CA3" w14:textId="440D72D8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419CDAE3" w14:textId="65CCF0A8" w:rsidR="00176F8D" w:rsidRPr="00535CD7" w:rsidRDefault="00535CD7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</w:tbl>
    <w:p w14:paraId="22644BDC" w14:textId="0E4A5A7A" w:rsidR="00174761" w:rsidRDefault="00174761"/>
    <w:sectPr w:rsidR="00174761" w:rsidSect="00176F8D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EEB70" w14:textId="77777777" w:rsidR="009E7E87" w:rsidRDefault="009E7E87">
      <w:pPr>
        <w:spacing w:after="0" w:line="240" w:lineRule="auto"/>
      </w:pPr>
      <w:r>
        <w:separator/>
      </w:r>
    </w:p>
  </w:endnote>
  <w:endnote w:type="continuationSeparator" w:id="0">
    <w:p w14:paraId="3CE57C6C" w14:textId="77777777" w:rsidR="009E7E87" w:rsidRDefault="009E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82321" w14:textId="77777777" w:rsidR="009E7E87" w:rsidRDefault="009E7E87">
      <w:pPr>
        <w:spacing w:after="0" w:line="240" w:lineRule="auto"/>
      </w:pPr>
      <w:r>
        <w:separator/>
      </w:r>
    </w:p>
  </w:footnote>
  <w:footnote w:type="continuationSeparator" w:id="0">
    <w:p w14:paraId="4E4326C9" w14:textId="77777777" w:rsidR="009E7E87" w:rsidRDefault="009E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6004E" w14:textId="77777777" w:rsidR="00E17891" w:rsidRDefault="00535CD7">
    <w:pPr>
      <w:pStyle w:val="a5"/>
      <w:framePr w:w="16817" w:h="528" w:wrap="none" w:vAnchor="text" w:hAnchor="page" w:x="51" w:y="328"/>
      <w:shd w:val="clear" w:color="auto" w:fill="auto"/>
      <w:ind w:left="16609"/>
    </w:pPr>
    <w:r>
      <w:rPr>
        <w:rStyle w:val="39pt"/>
        <w:lang w:val="en-US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62"/>
    <w:rsid w:val="00020786"/>
    <w:rsid w:val="00174761"/>
    <w:rsid w:val="00176F8D"/>
    <w:rsid w:val="002606A4"/>
    <w:rsid w:val="00297DE0"/>
    <w:rsid w:val="004D0947"/>
    <w:rsid w:val="00535CD7"/>
    <w:rsid w:val="00583E97"/>
    <w:rsid w:val="00625E85"/>
    <w:rsid w:val="00756168"/>
    <w:rsid w:val="007C2FF2"/>
    <w:rsid w:val="007D7E2A"/>
    <w:rsid w:val="0089550B"/>
    <w:rsid w:val="008A37ED"/>
    <w:rsid w:val="008C5687"/>
    <w:rsid w:val="00944D38"/>
    <w:rsid w:val="009513C4"/>
    <w:rsid w:val="009E7E87"/>
    <w:rsid w:val="00A44484"/>
    <w:rsid w:val="00A72F71"/>
    <w:rsid w:val="00A87C6D"/>
    <w:rsid w:val="00B72EFC"/>
    <w:rsid w:val="00BB217A"/>
    <w:rsid w:val="00BE4662"/>
    <w:rsid w:val="00C326DC"/>
    <w:rsid w:val="00D22FA6"/>
    <w:rsid w:val="00E55403"/>
    <w:rsid w:val="00E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7AAF"/>
  <w15:chartTrackingRefBased/>
  <w15:docId w15:val="{1ACB5E36-ACFC-4F17-AC60-9C17EE93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FC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72EF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72E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a5"/>
    <w:rsid w:val="00B72E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9pt">
    <w:name w:val="Колонтитул + 39 pt"/>
    <w:basedOn w:val="a4"/>
    <w:rsid w:val="00B72EFC"/>
    <w:rPr>
      <w:rFonts w:ascii="Times New Roman" w:eastAsia="Times New Roman" w:hAnsi="Times New Roman" w:cs="Times New Roman"/>
      <w:sz w:val="78"/>
      <w:szCs w:val="7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72E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mesNewRoman11pt">
    <w:name w:val="Основной текст + Times New Roman;11 pt;Полужирный"/>
    <w:basedOn w:val="a3"/>
    <w:rsid w:val="00B72EF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3"/>
    <w:rsid w:val="00B72EFC"/>
    <w:pPr>
      <w:shd w:val="clear" w:color="auto" w:fill="FFFFFF"/>
      <w:spacing w:before="180"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70">
    <w:name w:val="Основной текст (7)"/>
    <w:basedOn w:val="a"/>
    <w:link w:val="7"/>
    <w:rsid w:val="00B72EFC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paragraph" w:customStyle="1" w:styleId="a5">
    <w:name w:val="Колонтитул"/>
    <w:basedOn w:val="a"/>
    <w:link w:val="a4"/>
    <w:rsid w:val="00B72EFC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B72EFC"/>
    <w:pPr>
      <w:shd w:val="clear" w:color="auto" w:fill="FFFFFF"/>
      <w:spacing w:after="0" w:line="0" w:lineRule="atLeast"/>
    </w:pPr>
    <w:rPr>
      <w:rFonts w:ascii="Times New Roman" w:hAnsi="Times New Roman"/>
    </w:rPr>
  </w:style>
  <w:style w:type="table" w:styleId="a6">
    <w:name w:val="Table Grid"/>
    <w:basedOn w:val="a1"/>
    <w:uiPriority w:val="39"/>
    <w:rsid w:val="0029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955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550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2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2F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5350-2C5A-45C4-BCDF-7F3447FF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С. Воробьев</dc:creator>
  <cp:keywords/>
  <dc:description/>
  <cp:lastModifiedBy>Михаил С. Воробьев</cp:lastModifiedBy>
  <cp:revision>17</cp:revision>
  <cp:lastPrinted>2026-01-29T09:09:00Z</cp:lastPrinted>
  <dcterms:created xsi:type="dcterms:W3CDTF">2019-11-21T07:50:00Z</dcterms:created>
  <dcterms:modified xsi:type="dcterms:W3CDTF">2026-01-29T09:12:00Z</dcterms:modified>
</cp:coreProperties>
</file>